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BF" w:rsidRDefault="00CB00BF" w:rsidP="00E6146F">
      <w:pPr>
        <w:spacing w:after="0"/>
        <w:jc w:val="center"/>
        <w:rPr>
          <w:rFonts w:ascii="Arial" w:hAnsi="Arial" w:cs="Arial"/>
          <w:b/>
          <w:sz w:val="24"/>
          <w:szCs w:val="24"/>
        </w:rPr>
      </w:pPr>
      <w:bookmarkStart w:id="0" w:name="_GoBack"/>
      <w:bookmarkEnd w:id="0"/>
    </w:p>
    <w:p w:rsidR="00CB00BF" w:rsidRDefault="00CB00BF" w:rsidP="00E6146F">
      <w:pPr>
        <w:spacing w:after="0"/>
        <w:jc w:val="center"/>
        <w:rPr>
          <w:rFonts w:ascii="Arial" w:hAnsi="Arial" w:cs="Arial"/>
          <w:b/>
          <w:sz w:val="24"/>
          <w:szCs w:val="24"/>
        </w:rPr>
      </w:pPr>
    </w:p>
    <w:p w:rsidR="004907E5" w:rsidRPr="00CB00BF" w:rsidRDefault="004907E5" w:rsidP="00E6146F">
      <w:pPr>
        <w:spacing w:after="0"/>
        <w:jc w:val="center"/>
        <w:rPr>
          <w:rFonts w:ascii="Arial" w:hAnsi="Arial" w:cs="Arial"/>
          <w:b/>
          <w:sz w:val="28"/>
          <w:szCs w:val="28"/>
        </w:rPr>
      </w:pPr>
      <w:r w:rsidRPr="00CB00BF">
        <w:rPr>
          <w:rFonts w:ascii="Arial" w:hAnsi="Arial" w:cs="Arial"/>
          <w:b/>
          <w:sz w:val="28"/>
          <w:szCs w:val="28"/>
        </w:rPr>
        <w:t>Sheffield Musculoskeletal services</w:t>
      </w:r>
    </w:p>
    <w:p w:rsidR="001857EB" w:rsidRPr="00CB00BF" w:rsidRDefault="004907E5" w:rsidP="004907E5">
      <w:pPr>
        <w:jc w:val="center"/>
        <w:rPr>
          <w:rFonts w:ascii="Arial" w:hAnsi="Arial" w:cs="Arial"/>
          <w:b/>
          <w:sz w:val="28"/>
          <w:szCs w:val="28"/>
        </w:rPr>
      </w:pPr>
      <w:r w:rsidRPr="00CB00BF">
        <w:rPr>
          <w:rFonts w:ascii="Arial" w:hAnsi="Arial" w:cs="Arial"/>
          <w:b/>
          <w:sz w:val="28"/>
          <w:szCs w:val="28"/>
        </w:rPr>
        <w:t>Pre-engagement evidence analysis</w:t>
      </w:r>
    </w:p>
    <w:p w:rsidR="00CB00BF" w:rsidRDefault="00CB00BF" w:rsidP="00CB00BF">
      <w:pPr>
        <w:rPr>
          <w:rFonts w:ascii="Arial" w:hAnsi="Arial" w:cs="Arial"/>
          <w:sz w:val="24"/>
          <w:szCs w:val="24"/>
        </w:rPr>
      </w:pPr>
    </w:p>
    <w:p w:rsidR="00CB00BF" w:rsidRPr="00CB00BF" w:rsidRDefault="00CB00BF" w:rsidP="00CB00BF">
      <w:pPr>
        <w:rPr>
          <w:rFonts w:ascii="Arial" w:hAnsi="Arial" w:cs="Arial"/>
          <w:sz w:val="24"/>
          <w:szCs w:val="24"/>
        </w:rPr>
      </w:pPr>
      <w:r w:rsidRPr="00CB00BF">
        <w:rPr>
          <w:rFonts w:ascii="Arial" w:hAnsi="Arial" w:cs="Arial"/>
          <w:sz w:val="24"/>
          <w:szCs w:val="24"/>
        </w:rPr>
        <w:t>We asked a wide range of local and national organisations to provide us with any feedback they had received about musculoskeletal services or what it was like to live with a musculoskeletal condition. The organisations included:</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NHS Sheffield CCG Complaints and Compliments</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Sheffield Teaching Hospital Patient Services</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Health Trainer Pain Management Programme</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Health Trainer Programme</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Pharmacies</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 xml:space="preserve">Expert Patients Programme (EPP) </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HealthWatch Sheffield</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Arthritis Care UK + Sheffield branch</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National Rheumatoid Arthritis Association UK + Sheffield branch</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British Orthopaedic Association</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British Rheumatology Society</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Primary Care Rheumatology</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British Pain Society</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The Arthritis and Musculoskeletal Alliance</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Arthritic Association</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Arthritis Research UK + Sheffield branch</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Age UK Sheffield branch</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Disability Sheffield</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Disability Action Alliance UK</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U3A</w:t>
      </w:r>
    </w:p>
    <w:p w:rsidR="00CB00BF" w:rsidRPr="00CB00BF" w:rsidRDefault="00CB00BF" w:rsidP="00CB00BF">
      <w:pPr>
        <w:numPr>
          <w:ilvl w:val="0"/>
          <w:numId w:val="1"/>
        </w:numPr>
        <w:contextualSpacing/>
        <w:rPr>
          <w:rFonts w:ascii="Arial" w:hAnsi="Arial" w:cs="Arial"/>
          <w:sz w:val="24"/>
          <w:szCs w:val="24"/>
        </w:rPr>
      </w:pPr>
      <w:r w:rsidRPr="00CB00BF">
        <w:rPr>
          <w:rFonts w:ascii="Arial" w:hAnsi="Arial" w:cs="Arial"/>
          <w:sz w:val="24"/>
          <w:szCs w:val="24"/>
        </w:rPr>
        <w:t>Oddfellows</w:t>
      </w:r>
    </w:p>
    <w:p w:rsidR="00CB00BF" w:rsidRPr="00CB00BF" w:rsidRDefault="00CB00BF" w:rsidP="00CB00BF">
      <w:pPr>
        <w:numPr>
          <w:ilvl w:val="0"/>
          <w:numId w:val="1"/>
        </w:numPr>
        <w:spacing w:after="0"/>
        <w:contextualSpacing/>
        <w:rPr>
          <w:rFonts w:ascii="Arial" w:hAnsi="Arial" w:cs="Arial"/>
          <w:sz w:val="24"/>
          <w:szCs w:val="24"/>
        </w:rPr>
      </w:pPr>
      <w:r w:rsidRPr="00CB00BF">
        <w:rPr>
          <w:rFonts w:ascii="Arial" w:hAnsi="Arial" w:cs="Arial"/>
          <w:sz w:val="24"/>
          <w:szCs w:val="24"/>
        </w:rPr>
        <w:t>Live Well Support Group for People With Chronic Pain &amp; Illness</w:t>
      </w:r>
    </w:p>
    <w:p w:rsidR="00CB00BF" w:rsidRPr="00CB00BF" w:rsidRDefault="00CB00BF" w:rsidP="00CB00BF">
      <w:pPr>
        <w:tabs>
          <w:tab w:val="left" w:pos="6825"/>
        </w:tabs>
        <w:spacing w:after="0"/>
        <w:rPr>
          <w:rFonts w:ascii="Arial" w:hAnsi="Arial" w:cs="Arial"/>
          <w:sz w:val="24"/>
          <w:szCs w:val="24"/>
        </w:rPr>
      </w:pPr>
      <w:r w:rsidRPr="00CB00BF">
        <w:rPr>
          <w:rFonts w:ascii="Arial" w:hAnsi="Arial" w:cs="Arial"/>
          <w:sz w:val="24"/>
          <w:szCs w:val="24"/>
        </w:rPr>
        <w:tab/>
      </w: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Pr="00CB00BF" w:rsidRDefault="00CB00BF" w:rsidP="00CB00BF">
      <w:pPr>
        <w:spacing w:after="0"/>
        <w:rPr>
          <w:rFonts w:ascii="Arial" w:hAnsi="Arial" w:cs="Arial"/>
          <w:b/>
          <w:i/>
          <w:sz w:val="24"/>
          <w:szCs w:val="24"/>
        </w:rPr>
      </w:pPr>
      <w:r w:rsidRPr="00CB00BF">
        <w:rPr>
          <w:rFonts w:ascii="Arial" w:hAnsi="Arial" w:cs="Arial"/>
          <w:b/>
          <w:i/>
          <w:sz w:val="24"/>
          <w:szCs w:val="24"/>
        </w:rPr>
        <w:lastRenderedPageBreak/>
        <w:t>Sheffield Teaching Hospitals Patient Services feedback</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sz w:val="24"/>
          <w:szCs w:val="24"/>
        </w:rPr>
        <w:t>533 complaints were received about Musculoskeletal services between April 2011 and March 2014. Of these, the highest numbers related to:</w:t>
      </w:r>
    </w:p>
    <w:p w:rsidR="00CB00BF" w:rsidRPr="00CB00BF" w:rsidRDefault="00CB00BF" w:rsidP="00CB00BF">
      <w:pPr>
        <w:spacing w:after="0"/>
        <w:rPr>
          <w:rFonts w:ascii="Arial" w:hAnsi="Arial" w:cs="Arial"/>
          <w:sz w:val="24"/>
          <w:szCs w:val="24"/>
        </w:rPr>
      </w:pPr>
    </w:p>
    <w:tbl>
      <w:tblPr>
        <w:tblStyle w:val="TableGrid5"/>
        <w:tblW w:w="0" w:type="auto"/>
        <w:jc w:val="center"/>
        <w:tblLook w:val="04A0" w:firstRow="1" w:lastRow="0" w:firstColumn="1" w:lastColumn="0" w:noHBand="0" w:noVBand="1"/>
      </w:tblPr>
      <w:tblGrid>
        <w:gridCol w:w="3364"/>
        <w:gridCol w:w="1284"/>
      </w:tblGrid>
      <w:tr w:rsidR="00CB00BF" w:rsidRPr="00CB00BF" w:rsidTr="004262D1">
        <w:trPr>
          <w:jc w:val="center"/>
        </w:trPr>
        <w:tc>
          <w:tcPr>
            <w:tcW w:w="3364" w:type="dxa"/>
            <w:shd w:val="clear" w:color="auto" w:fill="FF0000"/>
          </w:tcPr>
          <w:p w:rsidR="00CB00BF" w:rsidRPr="00CB00BF" w:rsidRDefault="00CB00BF" w:rsidP="00CB00BF">
            <w:pPr>
              <w:rPr>
                <w:rFonts w:ascii="Arial" w:hAnsi="Arial" w:cs="Arial"/>
                <w:b/>
                <w:color w:val="FFFFFF" w:themeColor="background1"/>
                <w:sz w:val="24"/>
                <w:szCs w:val="24"/>
              </w:rPr>
            </w:pPr>
            <w:r w:rsidRPr="00CB00BF">
              <w:rPr>
                <w:rFonts w:ascii="Arial" w:hAnsi="Arial" w:cs="Arial"/>
                <w:b/>
                <w:color w:val="FFFFFF" w:themeColor="background1"/>
                <w:sz w:val="24"/>
                <w:szCs w:val="24"/>
              </w:rPr>
              <w:t>Subject of complaint</w:t>
            </w:r>
          </w:p>
        </w:tc>
        <w:tc>
          <w:tcPr>
            <w:tcW w:w="1284" w:type="dxa"/>
            <w:shd w:val="clear" w:color="auto" w:fill="FF0000"/>
          </w:tcPr>
          <w:p w:rsidR="00CB00BF" w:rsidRPr="00CB00BF" w:rsidRDefault="00CB00BF" w:rsidP="00CB00BF">
            <w:pPr>
              <w:rPr>
                <w:rFonts w:ascii="Arial" w:hAnsi="Arial" w:cs="Arial"/>
                <w:b/>
                <w:color w:val="FFFFFF" w:themeColor="background1"/>
                <w:sz w:val="24"/>
                <w:szCs w:val="24"/>
              </w:rPr>
            </w:pPr>
            <w:r w:rsidRPr="00CB00BF">
              <w:rPr>
                <w:rFonts w:ascii="Arial" w:hAnsi="Arial" w:cs="Arial"/>
                <w:b/>
                <w:color w:val="FFFFFF" w:themeColor="background1"/>
                <w:sz w:val="24"/>
                <w:szCs w:val="24"/>
              </w:rPr>
              <w:t>Number</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Cancellations</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57</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Delays</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56</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Outcome of surgery</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45</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Appropriateness of treatment</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45</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Attitude</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43</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General care</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42</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Communication</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38</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Waiting</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21</w:t>
            </w:r>
          </w:p>
        </w:tc>
      </w:tr>
      <w:tr w:rsidR="00CB00BF" w:rsidRPr="00CB00BF" w:rsidTr="004262D1">
        <w:trPr>
          <w:jc w:val="center"/>
        </w:trPr>
        <w:tc>
          <w:tcPr>
            <w:tcW w:w="3364" w:type="dxa"/>
          </w:tcPr>
          <w:p w:rsidR="00CB00BF" w:rsidRPr="00CB00BF" w:rsidRDefault="00CB00BF" w:rsidP="00CB00BF">
            <w:pPr>
              <w:rPr>
                <w:rFonts w:ascii="Arial" w:hAnsi="Arial" w:cs="Arial"/>
                <w:sz w:val="24"/>
                <w:szCs w:val="24"/>
              </w:rPr>
            </w:pPr>
            <w:r w:rsidRPr="00CB00BF">
              <w:rPr>
                <w:rFonts w:ascii="Arial" w:hAnsi="Arial" w:cs="Arial"/>
                <w:sz w:val="24"/>
                <w:szCs w:val="24"/>
              </w:rPr>
              <w:t>Choice of treatment</w:t>
            </w:r>
          </w:p>
        </w:tc>
        <w:tc>
          <w:tcPr>
            <w:tcW w:w="128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20</w:t>
            </w:r>
          </w:p>
        </w:tc>
      </w:tr>
    </w:tbl>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sz w:val="24"/>
          <w:szCs w:val="24"/>
        </w:rPr>
        <w:t>355 pieces of feedback were received via comments cards and website. 259 were positive and 96 were negative.</w:t>
      </w:r>
    </w:p>
    <w:p w:rsidR="00CB00BF" w:rsidRPr="00CB00BF" w:rsidRDefault="00CB00BF" w:rsidP="00CB00BF">
      <w:pPr>
        <w:spacing w:after="0"/>
        <w:rPr>
          <w:rFonts w:ascii="Arial" w:hAnsi="Arial" w:cs="Arial"/>
          <w:b/>
          <w:sz w:val="24"/>
          <w:szCs w:val="24"/>
        </w:rPr>
      </w:pPr>
    </w:p>
    <w:tbl>
      <w:tblPr>
        <w:tblStyle w:val="TableGrid5"/>
        <w:tblW w:w="0" w:type="auto"/>
        <w:tblLayout w:type="fixed"/>
        <w:tblLook w:val="04A0" w:firstRow="1" w:lastRow="0" w:firstColumn="1" w:lastColumn="0" w:noHBand="0" w:noVBand="1"/>
      </w:tblPr>
      <w:tblGrid>
        <w:gridCol w:w="3510"/>
        <w:gridCol w:w="1134"/>
      </w:tblGrid>
      <w:tr w:rsidR="00CB00BF" w:rsidRPr="00CB00BF" w:rsidTr="004262D1">
        <w:tc>
          <w:tcPr>
            <w:tcW w:w="3510" w:type="dxa"/>
            <w:shd w:val="clear" w:color="auto" w:fill="92D050"/>
          </w:tcPr>
          <w:p w:rsidR="00CB00BF" w:rsidRPr="00CB00BF" w:rsidRDefault="00CB00BF" w:rsidP="00CB00BF">
            <w:pPr>
              <w:rPr>
                <w:rFonts w:ascii="Arial" w:hAnsi="Arial" w:cs="Arial"/>
                <w:b/>
                <w:sz w:val="24"/>
                <w:szCs w:val="24"/>
              </w:rPr>
            </w:pPr>
            <w:r w:rsidRPr="00CB00BF">
              <w:rPr>
                <w:rFonts w:ascii="Arial" w:hAnsi="Arial" w:cs="Arial"/>
                <w:b/>
                <w:sz w:val="24"/>
                <w:szCs w:val="24"/>
              </w:rPr>
              <w:t>Subject of positive feedback</w:t>
            </w:r>
          </w:p>
        </w:tc>
        <w:tc>
          <w:tcPr>
            <w:tcW w:w="1134" w:type="dxa"/>
            <w:shd w:val="clear" w:color="auto" w:fill="92D050"/>
          </w:tcPr>
          <w:p w:rsidR="00CB00BF" w:rsidRPr="00CB00BF" w:rsidRDefault="00CB00BF" w:rsidP="00CB00BF">
            <w:pPr>
              <w:rPr>
                <w:rFonts w:ascii="Arial" w:hAnsi="Arial" w:cs="Arial"/>
                <w:b/>
                <w:sz w:val="24"/>
                <w:szCs w:val="24"/>
              </w:rPr>
            </w:pPr>
            <w:r w:rsidRPr="00CB00BF">
              <w:rPr>
                <w:rFonts w:ascii="Arial" w:hAnsi="Arial" w:cs="Arial"/>
                <w:b/>
                <w:sz w:val="24"/>
                <w:szCs w:val="24"/>
              </w:rPr>
              <w:t>Number</w:t>
            </w:r>
          </w:p>
        </w:tc>
      </w:tr>
      <w:tr w:rsidR="00CB00BF" w:rsidRPr="00CB00BF" w:rsidTr="004262D1">
        <w:tc>
          <w:tcPr>
            <w:tcW w:w="3510" w:type="dxa"/>
          </w:tcPr>
          <w:p w:rsidR="00CB00BF" w:rsidRPr="00CB00BF" w:rsidRDefault="00CB00BF" w:rsidP="00CB00BF">
            <w:pPr>
              <w:rPr>
                <w:rFonts w:ascii="Arial" w:hAnsi="Arial" w:cs="Arial"/>
                <w:sz w:val="24"/>
                <w:szCs w:val="24"/>
              </w:rPr>
            </w:pPr>
            <w:r w:rsidRPr="00CB00BF">
              <w:rPr>
                <w:rFonts w:ascii="Arial" w:hAnsi="Arial" w:cs="Arial"/>
                <w:sz w:val="24"/>
                <w:szCs w:val="24"/>
              </w:rPr>
              <w:t>Staff attitude</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172</w:t>
            </w:r>
          </w:p>
        </w:tc>
      </w:tr>
      <w:tr w:rsidR="00CB00BF" w:rsidRPr="00CB00BF" w:rsidTr="004262D1">
        <w:tc>
          <w:tcPr>
            <w:tcW w:w="3510" w:type="dxa"/>
          </w:tcPr>
          <w:p w:rsidR="00CB00BF" w:rsidRPr="00CB00BF" w:rsidRDefault="00CB00BF" w:rsidP="00CB00BF">
            <w:pPr>
              <w:rPr>
                <w:rFonts w:ascii="Arial" w:hAnsi="Arial" w:cs="Arial"/>
                <w:sz w:val="24"/>
                <w:szCs w:val="24"/>
              </w:rPr>
            </w:pPr>
            <w:r w:rsidRPr="00CB00BF">
              <w:rPr>
                <w:rFonts w:ascii="Arial" w:hAnsi="Arial" w:cs="Arial"/>
                <w:sz w:val="24"/>
                <w:szCs w:val="24"/>
              </w:rPr>
              <w:t>General care</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108</w:t>
            </w:r>
          </w:p>
        </w:tc>
      </w:tr>
      <w:tr w:rsidR="00CB00BF" w:rsidRPr="00CB00BF" w:rsidTr="004262D1">
        <w:tc>
          <w:tcPr>
            <w:tcW w:w="3510" w:type="dxa"/>
          </w:tcPr>
          <w:p w:rsidR="00CB00BF" w:rsidRPr="00CB00BF" w:rsidRDefault="00CB00BF" w:rsidP="00CB00BF">
            <w:pPr>
              <w:rPr>
                <w:rFonts w:ascii="Arial" w:hAnsi="Arial" w:cs="Arial"/>
                <w:sz w:val="24"/>
                <w:szCs w:val="24"/>
              </w:rPr>
            </w:pPr>
            <w:r w:rsidRPr="00CB00BF">
              <w:rPr>
                <w:rFonts w:ascii="Arial" w:hAnsi="Arial" w:cs="Arial"/>
                <w:sz w:val="24"/>
                <w:szCs w:val="24"/>
              </w:rPr>
              <w:t>Waiting</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39</w:t>
            </w:r>
          </w:p>
        </w:tc>
      </w:tr>
      <w:tr w:rsidR="00CB00BF" w:rsidRPr="00CB00BF" w:rsidTr="004262D1">
        <w:tc>
          <w:tcPr>
            <w:tcW w:w="3510" w:type="dxa"/>
          </w:tcPr>
          <w:p w:rsidR="00CB00BF" w:rsidRPr="00CB00BF" w:rsidRDefault="00CB00BF" w:rsidP="00CB00BF">
            <w:pPr>
              <w:rPr>
                <w:rFonts w:ascii="Arial" w:hAnsi="Arial" w:cs="Arial"/>
                <w:sz w:val="24"/>
                <w:szCs w:val="24"/>
              </w:rPr>
            </w:pPr>
            <w:r w:rsidRPr="00CB00BF">
              <w:rPr>
                <w:rFonts w:ascii="Arial" w:hAnsi="Arial" w:cs="Arial"/>
                <w:sz w:val="24"/>
                <w:szCs w:val="24"/>
              </w:rPr>
              <w:t>Communication</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37</w:t>
            </w:r>
          </w:p>
        </w:tc>
      </w:tr>
      <w:tr w:rsidR="00CB00BF" w:rsidRPr="00CB00BF" w:rsidTr="004262D1">
        <w:tc>
          <w:tcPr>
            <w:tcW w:w="3510" w:type="dxa"/>
          </w:tcPr>
          <w:p w:rsidR="00CB00BF" w:rsidRPr="00CB00BF" w:rsidRDefault="00CB00BF" w:rsidP="00CB00BF">
            <w:pPr>
              <w:rPr>
                <w:rFonts w:ascii="Arial" w:hAnsi="Arial" w:cs="Arial"/>
                <w:sz w:val="24"/>
                <w:szCs w:val="24"/>
              </w:rPr>
            </w:pPr>
            <w:r w:rsidRPr="00CB00BF">
              <w:rPr>
                <w:rFonts w:ascii="Arial" w:hAnsi="Arial" w:cs="Arial"/>
                <w:sz w:val="24"/>
                <w:szCs w:val="24"/>
              </w:rPr>
              <w:t>Environment</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34</w:t>
            </w:r>
          </w:p>
        </w:tc>
      </w:tr>
      <w:tr w:rsidR="00CB00BF" w:rsidRPr="00CB00BF" w:rsidTr="004262D1">
        <w:tc>
          <w:tcPr>
            <w:tcW w:w="3510" w:type="dxa"/>
          </w:tcPr>
          <w:p w:rsidR="00CB00BF" w:rsidRPr="00CB00BF" w:rsidRDefault="00CB00BF" w:rsidP="00CB00BF">
            <w:pPr>
              <w:rPr>
                <w:rFonts w:ascii="Arial" w:hAnsi="Arial" w:cs="Arial"/>
                <w:sz w:val="24"/>
                <w:szCs w:val="24"/>
              </w:rPr>
            </w:pPr>
            <w:r w:rsidRPr="00CB00BF">
              <w:rPr>
                <w:rFonts w:ascii="Arial" w:hAnsi="Arial" w:cs="Arial"/>
                <w:sz w:val="24"/>
                <w:szCs w:val="24"/>
              </w:rPr>
              <w:t>Overall experience</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12</w:t>
            </w:r>
          </w:p>
        </w:tc>
      </w:tr>
    </w:tbl>
    <w:tbl>
      <w:tblPr>
        <w:tblStyle w:val="TableGrid5"/>
        <w:tblpPr w:leftFromText="180" w:rightFromText="180" w:vertAnchor="text" w:horzAnchor="margin" w:tblpXSpec="right" w:tblpY="-2038"/>
        <w:tblW w:w="0" w:type="auto"/>
        <w:tblLayout w:type="fixed"/>
        <w:tblLook w:val="04A0" w:firstRow="1" w:lastRow="0" w:firstColumn="1" w:lastColumn="0" w:noHBand="0" w:noVBand="1"/>
      </w:tblPr>
      <w:tblGrid>
        <w:gridCol w:w="3652"/>
        <w:gridCol w:w="1134"/>
      </w:tblGrid>
      <w:tr w:rsidR="00CB00BF" w:rsidRPr="00CB00BF" w:rsidTr="004262D1">
        <w:tc>
          <w:tcPr>
            <w:tcW w:w="3652" w:type="dxa"/>
            <w:shd w:val="clear" w:color="auto" w:fill="FF0000"/>
          </w:tcPr>
          <w:p w:rsidR="00CB00BF" w:rsidRPr="00CB00BF" w:rsidRDefault="00CB00BF" w:rsidP="00CB00BF">
            <w:pPr>
              <w:rPr>
                <w:rFonts w:ascii="Arial" w:hAnsi="Arial" w:cs="Arial"/>
                <w:b/>
                <w:color w:val="FFFFFF" w:themeColor="background1"/>
                <w:sz w:val="24"/>
                <w:szCs w:val="24"/>
              </w:rPr>
            </w:pPr>
            <w:r w:rsidRPr="00CB00BF">
              <w:rPr>
                <w:rFonts w:ascii="Arial" w:hAnsi="Arial" w:cs="Arial"/>
                <w:b/>
                <w:color w:val="FFFFFF" w:themeColor="background1"/>
                <w:sz w:val="24"/>
                <w:szCs w:val="24"/>
              </w:rPr>
              <w:t>Subject of negative feedback</w:t>
            </w:r>
          </w:p>
        </w:tc>
        <w:tc>
          <w:tcPr>
            <w:tcW w:w="1134" w:type="dxa"/>
            <w:shd w:val="clear" w:color="auto" w:fill="FF0000"/>
          </w:tcPr>
          <w:p w:rsidR="00CB00BF" w:rsidRPr="00CB00BF" w:rsidRDefault="00CB00BF" w:rsidP="00CB00BF">
            <w:pPr>
              <w:rPr>
                <w:rFonts w:ascii="Arial" w:hAnsi="Arial" w:cs="Arial"/>
                <w:b/>
                <w:color w:val="FFFFFF" w:themeColor="background1"/>
                <w:sz w:val="24"/>
                <w:szCs w:val="24"/>
              </w:rPr>
            </w:pPr>
            <w:r w:rsidRPr="00CB00BF">
              <w:rPr>
                <w:rFonts w:ascii="Arial" w:hAnsi="Arial" w:cs="Arial"/>
                <w:b/>
                <w:color w:val="FFFFFF" w:themeColor="background1"/>
                <w:sz w:val="24"/>
                <w:szCs w:val="24"/>
              </w:rPr>
              <w:t>Number</w:t>
            </w:r>
          </w:p>
        </w:tc>
      </w:tr>
      <w:tr w:rsidR="00CB00BF" w:rsidRPr="00CB00BF" w:rsidTr="004262D1">
        <w:tc>
          <w:tcPr>
            <w:tcW w:w="3652" w:type="dxa"/>
          </w:tcPr>
          <w:p w:rsidR="00CB00BF" w:rsidRPr="00CB00BF" w:rsidRDefault="00CB00BF" w:rsidP="00CB00BF">
            <w:pPr>
              <w:rPr>
                <w:rFonts w:ascii="Arial" w:hAnsi="Arial" w:cs="Arial"/>
                <w:sz w:val="24"/>
                <w:szCs w:val="24"/>
              </w:rPr>
            </w:pPr>
            <w:r w:rsidRPr="00CB00BF">
              <w:rPr>
                <w:rFonts w:ascii="Arial" w:hAnsi="Arial" w:cs="Arial"/>
                <w:sz w:val="24"/>
                <w:szCs w:val="24"/>
              </w:rPr>
              <w:t>Staff attitude</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34</w:t>
            </w:r>
          </w:p>
        </w:tc>
      </w:tr>
      <w:tr w:rsidR="00CB00BF" w:rsidRPr="00CB00BF" w:rsidTr="004262D1">
        <w:tc>
          <w:tcPr>
            <w:tcW w:w="3652" w:type="dxa"/>
          </w:tcPr>
          <w:p w:rsidR="00CB00BF" w:rsidRPr="00CB00BF" w:rsidRDefault="00CB00BF" w:rsidP="00CB00BF">
            <w:pPr>
              <w:rPr>
                <w:rFonts w:ascii="Arial" w:hAnsi="Arial" w:cs="Arial"/>
                <w:sz w:val="24"/>
                <w:szCs w:val="24"/>
              </w:rPr>
            </w:pPr>
            <w:r w:rsidRPr="00CB00BF">
              <w:rPr>
                <w:rFonts w:ascii="Arial" w:hAnsi="Arial" w:cs="Arial"/>
                <w:sz w:val="24"/>
                <w:szCs w:val="24"/>
              </w:rPr>
              <w:t>General care</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24</w:t>
            </w:r>
          </w:p>
        </w:tc>
      </w:tr>
      <w:tr w:rsidR="00CB00BF" w:rsidRPr="00CB00BF" w:rsidTr="004262D1">
        <w:tc>
          <w:tcPr>
            <w:tcW w:w="3652" w:type="dxa"/>
          </w:tcPr>
          <w:p w:rsidR="00CB00BF" w:rsidRPr="00CB00BF" w:rsidRDefault="00CB00BF" w:rsidP="00CB00BF">
            <w:pPr>
              <w:rPr>
                <w:rFonts w:ascii="Arial" w:hAnsi="Arial" w:cs="Arial"/>
                <w:sz w:val="24"/>
                <w:szCs w:val="24"/>
              </w:rPr>
            </w:pPr>
            <w:r w:rsidRPr="00CB00BF">
              <w:rPr>
                <w:rFonts w:ascii="Arial" w:hAnsi="Arial" w:cs="Arial"/>
                <w:sz w:val="24"/>
                <w:szCs w:val="24"/>
              </w:rPr>
              <w:t>Waiting</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21</w:t>
            </w:r>
          </w:p>
        </w:tc>
      </w:tr>
      <w:tr w:rsidR="00CB00BF" w:rsidRPr="00CB00BF" w:rsidTr="004262D1">
        <w:tc>
          <w:tcPr>
            <w:tcW w:w="3652" w:type="dxa"/>
          </w:tcPr>
          <w:p w:rsidR="00CB00BF" w:rsidRPr="00CB00BF" w:rsidRDefault="00CB00BF" w:rsidP="00CB00BF">
            <w:pPr>
              <w:rPr>
                <w:rFonts w:ascii="Arial" w:hAnsi="Arial" w:cs="Arial"/>
                <w:sz w:val="24"/>
                <w:szCs w:val="24"/>
              </w:rPr>
            </w:pPr>
            <w:r w:rsidRPr="00CB00BF">
              <w:rPr>
                <w:rFonts w:ascii="Arial" w:hAnsi="Arial" w:cs="Arial"/>
                <w:sz w:val="24"/>
                <w:szCs w:val="24"/>
              </w:rPr>
              <w:t>Nutrition</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19</w:t>
            </w:r>
          </w:p>
        </w:tc>
      </w:tr>
      <w:tr w:rsidR="00CB00BF" w:rsidRPr="00CB00BF" w:rsidTr="004262D1">
        <w:tc>
          <w:tcPr>
            <w:tcW w:w="3652" w:type="dxa"/>
          </w:tcPr>
          <w:p w:rsidR="00CB00BF" w:rsidRPr="00CB00BF" w:rsidRDefault="00CB00BF" w:rsidP="00CB00BF">
            <w:pPr>
              <w:rPr>
                <w:rFonts w:ascii="Arial" w:hAnsi="Arial" w:cs="Arial"/>
                <w:sz w:val="24"/>
                <w:szCs w:val="24"/>
              </w:rPr>
            </w:pPr>
            <w:r w:rsidRPr="00CB00BF">
              <w:rPr>
                <w:rFonts w:ascii="Arial" w:hAnsi="Arial" w:cs="Arial"/>
                <w:sz w:val="24"/>
                <w:szCs w:val="24"/>
              </w:rPr>
              <w:t>Communication</w:t>
            </w:r>
          </w:p>
        </w:tc>
        <w:tc>
          <w:tcPr>
            <w:tcW w:w="1134"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14</w:t>
            </w:r>
          </w:p>
        </w:tc>
      </w:tr>
    </w:tbl>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sz w:val="24"/>
          <w:szCs w:val="24"/>
        </w:rPr>
        <w:t>Compared to the overall amount of feedback received by the Trust, Musculoskeletal services account for approximately 12% of all complaints, and approximately 8% of all website feedback and comment cards.</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b/>
          <w:i/>
          <w:sz w:val="24"/>
          <w:szCs w:val="24"/>
        </w:rPr>
      </w:pPr>
      <w:r w:rsidRPr="00CB00BF">
        <w:rPr>
          <w:rFonts w:ascii="Arial" w:hAnsi="Arial" w:cs="Arial"/>
          <w:b/>
          <w:i/>
          <w:sz w:val="24"/>
          <w:szCs w:val="24"/>
        </w:rPr>
        <w:t>NHS Sheffield Clinical Commissioning Group complaints</w:t>
      </w:r>
    </w:p>
    <w:p w:rsidR="00CB00BF" w:rsidRPr="00CB00BF" w:rsidRDefault="00CB00BF" w:rsidP="00CB00BF">
      <w:pPr>
        <w:spacing w:after="0"/>
        <w:rPr>
          <w:rFonts w:ascii="Arial" w:hAnsi="Arial" w:cs="Arial"/>
          <w:b/>
          <w:sz w:val="24"/>
          <w:szCs w:val="24"/>
        </w:rPr>
      </w:pPr>
    </w:p>
    <w:p w:rsidR="00CB00BF" w:rsidRPr="00CB00BF" w:rsidRDefault="00CB00BF" w:rsidP="00CB00BF">
      <w:pPr>
        <w:spacing w:after="0"/>
        <w:rPr>
          <w:rFonts w:ascii="Arial" w:hAnsi="Arial" w:cs="Arial"/>
          <w:sz w:val="24"/>
          <w:szCs w:val="24"/>
        </w:rPr>
      </w:pPr>
      <w:r w:rsidRPr="00CB00BF">
        <w:rPr>
          <w:rFonts w:ascii="Arial" w:hAnsi="Arial" w:cs="Arial"/>
          <w:sz w:val="24"/>
          <w:szCs w:val="24"/>
        </w:rPr>
        <w:t>Thirteen complaints were received about musculoskeletal services between April 2011 and March 2014. These complaints related to:</w:t>
      </w:r>
    </w:p>
    <w:p w:rsidR="00CB00BF" w:rsidRPr="00CB00BF" w:rsidRDefault="00CB00BF" w:rsidP="00CB00BF">
      <w:pPr>
        <w:spacing w:after="0"/>
        <w:rPr>
          <w:rFonts w:ascii="Arial" w:hAnsi="Arial" w:cs="Arial"/>
          <w:b/>
          <w:sz w:val="24"/>
          <w:szCs w:val="24"/>
        </w:rPr>
      </w:pPr>
    </w:p>
    <w:tbl>
      <w:tblPr>
        <w:tblStyle w:val="TableGrid5"/>
        <w:tblW w:w="0" w:type="auto"/>
        <w:jc w:val="center"/>
        <w:tblLook w:val="04A0" w:firstRow="1" w:lastRow="0" w:firstColumn="1" w:lastColumn="0" w:noHBand="0" w:noVBand="1"/>
      </w:tblPr>
      <w:tblGrid>
        <w:gridCol w:w="3882"/>
        <w:gridCol w:w="1249"/>
      </w:tblGrid>
      <w:tr w:rsidR="00CB00BF" w:rsidRPr="00CB00BF" w:rsidTr="004262D1">
        <w:trPr>
          <w:jc w:val="center"/>
        </w:trPr>
        <w:tc>
          <w:tcPr>
            <w:tcW w:w="3882" w:type="dxa"/>
            <w:shd w:val="clear" w:color="auto" w:fill="FF0000"/>
          </w:tcPr>
          <w:p w:rsidR="00CB00BF" w:rsidRPr="00CB00BF" w:rsidRDefault="00CB00BF" w:rsidP="00CB00BF">
            <w:pPr>
              <w:rPr>
                <w:rFonts w:ascii="Arial" w:hAnsi="Arial" w:cs="Arial"/>
                <w:b/>
                <w:color w:val="FFFFFF" w:themeColor="background1"/>
                <w:sz w:val="24"/>
                <w:szCs w:val="24"/>
              </w:rPr>
            </w:pPr>
            <w:r w:rsidRPr="00CB00BF">
              <w:rPr>
                <w:rFonts w:ascii="Arial" w:hAnsi="Arial" w:cs="Arial"/>
                <w:b/>
                <w:color w:val="FFFFFF" w:themeColor="background1"/>
                <w:sz w:val="24"/>
                <w:szCs w:val="24"/>
              </w:rPr>
              <w:t>Subject of complaint</w:t>
            </w:r>
          </w:p>
        </w:tc>
        <w:tc>
          <w:tcPr>
            <w:tcW w:w="1249" w:type="dxa"/>
            <w:shd w:val="clear" w:color="auto" w:fill="FF0000"/>
          </w:tcPr>
          <w:p w:rsidR="00CB00BF" w:rsidRPr="00CB00BF" w:rsidRDefault="00CB00BF" w:rsidP="00CB00BF">
            <w:pPr>
              <w:rPr>
                <w:rFonts w:ascii="Arial" w:hAnsi="Arial" w:cs="Arial"/>
                <w:b/>
                <w:color w:val="FFFFFF" w:themeColor="background1"/>
                <w:sz w:val="24"/>
                <w:szCs w:val="24"/>
              </w:rPr>
            </w:pPr>
            <w:r w:rsidRPr="00CB00BF">
              <w:rPr>
                <w:rFonts w:ascii="Arial" w:hAnsi="Arial" w:cs="Arial"/>
                <w:b/>
                <w:color w:val="FFFFFF" w:themeColor="background1"/>
                <w:sz w:val="24"/>
                <w:szCs w:val="24"/>
              </w:rPr>
              <w:t>Number</w:t>
            </w:r>
          </w:p>
        </w:tc>
      </w:tr>
      <w:tr w:rsidR="00CB00BF" w:rsidRPr="00CB00BF" w:rsidTr="004262D1">
        <w:trPr>
          <w:jc w:val="center"/>
        </w:trPr>
        <w:tc>
          <w:tcPr>
            <w:tcW w:w="3882" w:type="dxa"/>
          </w:tcPr>
          <w:p w:rsidR="00CB00BF" w:rsidRPr="00CB00BF" w:rsidRDefault="00CB00BF" w:rsidP="00CB00BF">
            <w:pPr>
              <w:rPr>
                <w:rFonts w:ascii="Arial" w:hAnsi="Arial" w:cs="Arial"/>
                <w:sz w:val="24"/>
                <w:szCs w:val="24"/>
              </w:rPr>
            </w:pPr>
            <w:r w:rsidRPr="00CB00BF">
              <w:rPr>
                <w:rFonts w:ascii="Arial" w:hAnsi="Arial" w:cs="Arial"/>
                <w:sz w:val="24"/>
                <w:szCs w:val="24"/>
              </w:rPr>
              <w:t>Referral</w:t>
            </w:r>
          </w:p>
        </w:tc>
        <w:tc>
          <w:tcPr>
            <w:tcW w:w="1249"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7</w:t>
            </w:r>
          </w:p>
        </w:tc>
      </w:tr>
      <w:tr w:rsidR="00CB00BF" w:rsidRPr="00CB00BF" w:rsidTr="004262D1">
        <w:trPr>
          <w:jc w:val="center"/>
        </w:trPr>
        <w:tc>
          <w:tcPr>
            <w:tcW w:w="3882" w:type="dxa"/>
          </w:tcPr>
          <w:p w:rsidR="00CB00BF" w:rsidRPr="00CB00BF" w:rsidRDefault="00CB00BF" w:rsidP="00CB00BF">
            <w:pPr>
              <w:rPr>
                <w:rFonts w:ascii="Arial" w:hAnsi="Arial" w:cs="Arial"/>
                <w:sz w:val="24"/>
                <w:szCs w:val="24"/>
              </w:rPr>
            </w:pPr>
            <w:r w:rsidRPr="00CB00BF">
              <w:rPr>
                <w:rFonts w:ascii="Arial" w:hAnsi="Arial" w:cs="Arial"/>
                <w:sz w:val="24"/>
                <w:szCs w:val="24"/>
              </w:rPr>
              <w:t>Appointments – time and location</w:t>
            </w:r>
          </w:p>
        </w:tc>
        <w:tc>
          <w:tcPr>
            <w:tcW w:w="1249"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w:t>
            </w:r>
          </w:p>
        </w:tc>
      </w:tr>
      <w:tr w:rsidR="00CB00BF" w:rsidRPr="00CB00BF" w:rsidTr="004262D1">
        <w:trPr>
          <w:jc w:val="center"/>
        </w:trPr>
        <w:tc>
          <w:tcPr>
            <w:tcW w:w="3882" w:type="dxa"/>
          </w:tcPr>
          <w:p w:rsidR="00CB00BF" w:rsidRPr="00CB00BF" w:rsidRDefault="00CB00BF" w:rsidP="00CB00BF">
            <w:pPr>
              <w:rPr>
                <w:rFonts w:ascii="Arial" w:hAnsi="Arial" w:cs="Arial"/>
                <w:sz w:val="24"/>
                <w:szCs w:val="24"/>
              </w:rPr>
            </w:pPr>
            <w:r w:rsidRPr="00CB00BF">
              <w:rPr>
                <w:rFonts w:ascii="Arial" w:hAnsi="Arial" w:cs="Arial"/>
                <w:sz w:val="24"/>
                <w:szCs w:val="24"/>
              </w:rPr>
              <w:t>Delays</w:t>
            </w:r>
          </w:p>
        </w:tc>
        <w:tc>
          <w:tcPr>
            <w:tcW w:w="1249"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w:t>
            </w:r>
          </w:p>
        </w:tc>
      </w:tr>
      <w:tr w:rsidR="00CB00BF" w:rsidRPr="00CB00BF" w:rsidTr="004262D1">
        <w:trPr>
          <w:jc w:val="center"/>
        </w:trPr>
        <w:tc>
          <w:tcPr>
            <w:tcW w:w="3882" w:type="dxa"/>
          </w:tcPr>
          <w:p w:rsidR="00CB00BF" w:rsidRPr="00CB00BF" w:rsidRDefault="00CB00BF" w:rsidP="00CB00BF">
            <w:pPr>
              <w:rPr>
                <w:rFonts w:ascii="Arial" w:hAnsi="Arial" w:cs="Arial"/>
                <w:sz w:val="24"/>
                <w:szCs w:val="24"/>
              </w:rPr>
            </w:pPr>
            <w:r w:rsidRPr="00CB00BF">
              <w:rPr>
                <w:rFonts w:ascii="Arial" w:hAnsi="Arial" w:cs="Arial"/>
                <w:sz w:val="24"/>
                <w:szCs w:val="24"/>
              </w:rPr>
              <w:t>General care</w:t>
            </w:r>
          </w:p>
        </w:tc>
        <w:tc>
          <w:tcPr>
            <w:tcW w:w="1249"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w:t>
            </w:r>
          </w:p>
        </w:tc>
      </w:tr>
      <w:tr w:rsidR="00CB00BF" w:rsidRPr="00CB00BF" w:rsidTr="004262D1">
        <w:trPr>
          <w:jc w:val="center"/>
        </w:trPr>
        <w:tc>
          <w:tcPr>
            <w:tcW w:w="3882" w:type="dxa"/>
          </w:tcPr>
          <w:p w:rsidR="00CB00BF" w:rsidRPr="00CB00BF" w:rsidRDefault="00CB00BF" w:rsidP="00CB00BF">
            <w:pPr>
              <w:rPr>
                <w:rFonts w:ascii="Arial" w:hAnsi="Arial" w:cs="Arial"/>
                <w:sz w:val="24"/>
                <w:szCs w:val="24"/>
              </w:rPr>
            </w:pPr>
            <w:r w:rsidRPr="00CB00BF">
              <w:rPr>
                <w:rFonts w:ascii="Arial" w:hAnsi="Arial" w:cs="Arial"/>
                <w:sz w:val="24"/>
                <w:szCs w:val="24"/>
              </w:rPr>
              <w:t>Records</w:t>
            </w:r>
          </w:p>
        </w:tc>
        <w:tc>
          <w:tcPr>
            <w:tcW w:w="1249"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w:t>
            </w:r>
          </w:p>
        </w:tc>
      </w:tr>
      <w:tr w:rsidR="00CB00BF" w:rsidRPr="00CB00BF" w:rsidTr="004262D1">
        <w:trPr>
          <w:jc w:val="center"/>
        </w:trPr>
        <w:tc>
          <w:tcPr>
            <w:tcW w:w="3882" w:type="dxa"/>
          </w:tcPr>
          <w:p w:rsidR="00CB00BF" w:rsidRPr="00CB00BF" w:rsidRDefault="00CB00BF" w:rsidP="00CB00BF">
            <w:pPr>
              <w:rPr>
                <w:rFonts w:ascii="Arial" w:hAnsi="Arial" w:cs="Arial"/>
                <w:sz w:val="24"/>
                <w:szCs w:val="24"/>
              </w:rPr>
            </w:pPr>
            <w:r w:rsidRPr="00CB00BF">
              <w:rPr>
                <w:rFonts w:ascii="Arial" w:hAnsi="Arial" w:cs="Arial"/>
                <w:sz w:val="24"/>
                <w:szCs w:val="24"/>
              </w:rPr>
              <w:t>Individual Funding Request</w:t>
            </w:r>
          </w:p>
        </w:tc>
        <w:tc>
          <w:tcPr>
            <w:tcW w:w="1249"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w:t>
            </w:r>
          </w:p>
        </w:tc>
      </w:tr>
    </w:tbl>
    <w:p w:rsidR="00CB00BF" w:rsidRPr="00CB00BF" w:rsidRDefault="00CB00BF" w:rsidP="00CB00BF">
      <w:pPr>
        <w:spacing w:after="0"/>
        <w:rPr>
          <w:rFonts w:ascii="Arial" w:hAnsi="Arial" w:cs="Arial"/>
          <w:b/>
          <w:sz w:val="24"/>
          <w:szCs w:val="24"/>
        </w:rPr>
      </w:pPr>
    </w:p>
    <w:p w:rsidR="00CB00BF" w:rsidRDefault="00CB00BF" w:rsidP="00CB00BF">
      <w:pPr>
        <w:rPr>
          <w:rFonts w:ascii="Arial" w:hAnsi="Arial" w:cs="Arial"/>
          <w:b/>
          <w:sz w:val="24"/>
          <w:szCs w:val="24"/>
        </w:rPr>
      </w:pPr>
    </w:p>
    <w:p w:rsidR="00CB00BF" w:rsidRPr="00CB00BF" w:rsidRDefault="00CB00BF" w:rsidP="00CB00BF">
      <w:pPr>
        <w:rPr>
          <w:rFonts w:ascii="Arial" w:hAnsi="Arial" w:cs="Arial"/>
          <w:b/>
          <w:i/>
          <w:sz w:val="24"/>
          <w:szCs w:val="24"/>
        </w:rPr>
      </w:pPr>
      <w:r w:rsidRPr="00CB00BF">
        <w:rPr>
          <w:rFonts w:ascii="Arial" w:hAnsi="Arial" w:cs="Arial"/>
          <w:b/>
          <w:i/>
          <w:sz w:val="24"/>
          <w:szCs w:val="24"/>
        </w:rPr>
        <w:lastRenderedPageBreak/>
        <w:t>Patient Opinion</w:t>
      </w:r>
    </w:p>
    <w:p w:rsidR="00CB00BF" w:rsidRPr="00CB00BF" w:rsidRDefault="00CB00BF" w:rsidP="00CB00BF">
      <w:pPr>
        <w:rPr>
          <w:rFonts w:ascii="Arial" w:hAnsi="Arial" w:cs="Arial"/>
          <w:sz w:val="24"/>
          <w:szCs w:val="24"/>
        </w:rPr>
      </w:pPr>
      <w:r w:rsidRPr="00CB00BF">
        <w:rPr>
          <w:rFonts w:ascii="Arial" w:hAnsi="Arial" w:cs="Arial"/>
          <w:sz w:val="24"/>
          <w:szCs w:val="24"/>
        </w:rPr>
        <w:t>Sixty-six posts regarding musculoskeletal services or conditions were received between 1</w:t>
      </w:r>
      <w:r w:rsidRPr="00CB00BF">
        <w:rPr>
          <w:rFonts w:ascii="Arial" w:hAnsi="Arial" w:cs="Arial"/>
          <w:sz w:val="24"/>
          <w:szCs w:val="24"/>
          <w:vertAlign w:val="superscript"/>
        </w:rPr>
        <w:t>st</w:t>
      </w:r>
      <w:r w:rsidRPr="00CB00BF">
        <w:rPr>
          <w:rFonts w:ascii="Arial" w:hAnsi="Arial" w:cs="Arial"/>
          <w:sz w:val="24"/>
          <w:szCs w:val="24"/>
        </w:rPr>
        <w:t xml:space="preserve"> April and 31</w:t>
      </w:r>
      <w:r w:rsidRPr="00CB00BF">
        <w:rPr>
          <w:rFonts w:ascii="Arial" w:hAnsi="Arial" w:cs="Arial"/>
          <w:sz w:val="24"/>
          <w:szCs w:val="24"/>
          <w:vertAlign w:val="superscript"/>
        </w:rPr>
        <w:t>st</w:t>
      </w:r>
      <w:r w:rsidRPr="00CB00BF">
        <w:rPr>
          <w:rFonts w:ascii="Arial" w:hAnsi="Arial" w:cs="Arial"/>
          <w:sz w:val="24"/>
          <w:szCs w:val="24"/>
        </w:rPr>
        <w:t xml:space="preserve"> March 2014. The posts related to various services in secondary, primary and community care. The posts were analysed and coded into the following themes. The themes include both positive and negative sentiments unless stated. This gives an indication as to the importance of the theme rather than the performance of current services.</w:t>
      </w:r>
    </w:p>
    <w:tbl>
      <w:tblPr>
        <w:tblStyle w:val="TableGrid1"/>
        <w:tblW w:w="0" w:type="auto"/>
        <w:tblInd w:w="2660" w:type="dxa"/>
        <w:tblLook w:val="04A0" w:firstRow="1" w:lastRow="0" w:firstColumn="1" w:lastColumn="0" w:noHBand="0" w:noVBand="1"/>
      </w:tblPr>
      <w:tblGrid>
        <w:gridCol w:w="3969"/>
        <w:gridCol w:w="1276"/>
      </w:tblGrid>
      <w:tr w:rsidR="00CB00BF" w:rsidRPr="00CB00BF" w:rsidTr="004262D1">
        <w:tc>
          <w:tcPr>
            <w:tcW w:w="3969" w:type="dxa"/>
            <w:shd w:val="clear" w:color="auto" w:fill="FFC000"/>
          </w:tcPr>
          <w:p w:rsidR="00CB00BF" w:rsidRPr="00CB00BF" w:rsidRDefault="00CB00BF" w:rsidP="00CB00BF">
            <w:pPr>
              <w:rPr>
                <w:rFonts w:ascii="Arial" w:hAnsi="Arial" w:cs="Arial"/>
                <w:sz w:val="24"/>
                <w:szCs w:val="24"/>
              </w:rPr>
            </w:pPr>
            <w:r w:rsidRPr="00CB00BF">
              <w:rPr>
                <w:rFonts w:ascii="Arial" w:hAnsi="Arial" w:cs="Arial"/>
                <w:sz w:val="24"/>
                <w:szCs w:val="24"/>
              </w:rPr>
              <w:t>Themes from posts</w:t>
            </w:r>
          </w:p>
        </w:tc>
        <w:tc>
          <w:tcPr>
            <w:tcW w:w="1276" w:type="dxa"/>
            <w:shd w:val="clear" w:color="auto" w:fill="FFC000"/>
          </w:tcPr>
          <w:p w:rsidR="00CB00BF" w:rsidRPr="00CB00BF" w:rsidRDefault="00CB00BF" w:rsidP="00CB00BF">
            <w:pPr>
              <w:jc w:val="center"/>
              <w:rPr>
                <w:rFonts w:ascii="Arial" w:hAnsi="Arial" w:cs="Arial"/>
                <w:sz w:val="24"/>
                <w:szCs w:val="24"/>
              </w:rPr>
            </w:pPr>
            <w:r w:rsidRPr="00CB00BF">
              <w:rPr>
                <w:rFonts w:ascii="Arial" w:hAnsi="Arial" w:cs="Arial"/>
                <w:sz w:val="24"/>
                <w:szCs w:val="24"/>
              </w:rPr>
              <w:t>Number</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Staff attitude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36</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General care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24</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Communication</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20</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Waiting and delays</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20</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Positive outcome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16</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Quality of life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16</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Information</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16</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After care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16</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Treated as a whole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9</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Diagnosis</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8</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Referral process and criteria</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7</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Privacy and dignity</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5</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Self-care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4</w:t>
            </w:r>
          </w:p>
        </w:tc>
      </w:tr>
      <w:tr w:rsidR="00CB00BF" w:rsidRPr="00CB00BF" w:rsidTr="004262D1">
        <w:tc>
          <w:tcPr>
            <w:tcW w:w="3969" w:type="dxa"/>
          </w:tcPr>
          <w:p w:rsidR="00CB00BF" w:rsidRPr="00CB00BF" w:rsidRDefault="00CB00BF" w:rsidP="00CB00BF">
            <w:pPr>
              <w:rPr>
                <w:rFonts w:ascii="Arial" w:hAnsi="Arial" w:cs="Arial"/>
                <w:sz w:val="24"/>
                <w:szCs w:val="24"/>
              </w:rPr>
            </w:pPr>
            <w:r w:rsidRPr="00CB00BF">
              <w:rPr>
                <w:rFonts w:ascii="Arial" w:hAnsi="Arial" w:cs="Arial"/>
                <w:sz w:val="24"/>
                <w:szCs w:val="24"/>
              </w:rPr>
              <w:t>Choice</w:t>
            </w:r>
          </w:p>
        </w:tc>
        <w:tc>
          <w:tcPr>
            <w:tcW w:w="1276" w:type="dxa"/>
          </w:tcPr>
          <w:p w:rsidR="00CB00BF" w:rsidRPr="00CB00BF" w:rsidRDefault="00CB00BF" w:rsidP="00CB00BF">
            <w:pPr>
              <w:jc w:val="center"/>
              <w:rPr>
                <w:rFonts w:ascii="Arial" w:hAnsi="Arial" w:cs="Arial"/>
                <w:sz w:val="24"/>
                <w:szCs w:val="24"/>
              </w:rPr>
            </w:pPr>
            <w:r w:rsidRPr="00CB00BF">
              <w:rPr>
                <w:rFonts w:ascii="Arial" w:hAnsi="Arial" w:cs="Arial"/>
                <w:sz w:val="24"/>
                <w:szCs w:val="24"/>
              </w:rPr>
              <w:t>4</w:t>
            </w:r>
          </w:p>
        </w:tc>
      </w:tr>
    </w:tbl>
    <w:p w:rsidR="00CB00BF" w:rsidRPr="00CB00BF" w:rsidRDefault="00CB00BF" w:rsidP="00CB00BF">
      <w:pPr>
        <w:rPr>
          <w:rFonts w:ascii="Arial" w:hAnsi="Arial" w:cs="Arial"/>
          <w:sz w:val="24"/>
          <w:szCs w:val="24"/>
        </w:rPr>
      </w:pPr>
    </w:p>
    <w:p w:rsidR="00CB00BF" w:rsidRPr="00CB00BF" w:rsidRDefault="00CB00BF" w:rsidP="00CB00BF">
      <w:pPr>
        <w:rPr>
          <w:rFonts w:ascii="Arial" w:hAnsi="Arial" w:cs="Arial"/>
          <w:b/>
          <w:i/>
          <w:sz w:val="24"/>
          <w:szCs w:val="24"/>
        </w:rPr>
      </w:pPr>
      <w:r w:rsidRPr="00CB00BF">
        <w:rPr>
          <w:rFonts w:ascii="Arial" w:hAnsi="Arial" w:cs="Arial"/>
          <w:b/>
          <w:i/>
          <w:sz w:val="24"/>
          <w:szCs w:val="24"/>
        </w:rPr>
        <w:t xml:space="preserve">Health Trainers Chronic Pain Programme Evaluation report </w:t>
      </w:r>
      <w:r>
        <w:rPr>
          <w:rFonts w:ascii="Arial" w:hAnsi="Arial" w:cs="Arial"/>
          <w:b/>
          <w:i/>
          <w:sz w:val="24"/>
          <w:szCs w:val="24"/>
        </w:rPr>
        <w:t>(</w:t>
      </w:r>
      <w:r w:rsidRPr="00CB00BF">
        <w:rPr>
          <w:rFonts w:ascii="Arial" w:hAnsi="Arial" w:cs="Arial"/>
          <w:b/>
          <w:i/>
          <w:sz w:val="24"/>
          <w:szCs w:val="24"/>
        </w:rPr>
        <w:t>August 2012</w:t>
      </w:r>
      <w:r>
        <w:rPr>
          <w:rFonts w:ascii="Arial" w:hAnsi="Arial" w:cs="Arial"/>
          <w:b/>
          <w:i/>
          <w:sz w:val="24"/>
          <w:szCs w:val="24"/>
        </w:rPr>
        <w:t>)</w:t>
      </w:r>
    </w:p>
    <w:p w:rsidR="00CB00BF" w:rsidRPr="00CB00BF" w:rsidRDefault="00CB00BF" w:rsidP="00CB00BF">
      <w:pPr>
        <w:rPr>
          <w:rFonts w:ascii="Arial" w:hAnsi="Arial" w:cs="Arial"/>
          <w:sz w:val="24"/>
          <w:szCs w:val="24"/>
        </w:rPr>
      </w:pPr>
      <w:r w:rsidRPr="00CB00BF">
        <w:rPr>
          <w:rFonts w:ascii="Arial" w:hAnsi="Arial" w:cs="Arial"/>
          <w:sz w:val="24"/>
          <w:szCs w:val="24"/>
        </w:rPr>
        <w:t>This report asked people who had chronic pain to describe the impact that it had on them.</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Upset. Low Morale. Depressed.</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Loss of activity in life. Loss of function. Couldn’t do the things I used to do.</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Takes over people’s lives.</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Feel like a burden.</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 xml:space="preserve">Isolation. </w:t>
      </w:r>
    </w:p>
    <w:p w:rsidR="00CB00BF" w:rsidRPr="00CB00BF" w:rsidRDefault="00CB00BF" w:rsidP="00CB00BF">
      <w:pPr>
        <w:rPr>
          <w:rFonts w:ascii="Arial" w:hAnsi="Arial" w:cs="Arial"/>
          <w:sz w:val="24"/>
          <w:szCs w:val="24"/>
        </w:rPr>
      </w:pPr>
      <w:r w:rsidRPr="00CB00BF">
        <w:rPr>
          <w:rFonts w:ascii="Arial" w:hAnsi="Arial" w:cs="Arial"/>
          <w:sz w:val="24"/>
          <w:szCs w:val="24"/>
        </w:rPr>
        <w:t>The report also asked people what helped, or would help, them to manage and live with their pain.</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Need to get out and talk to people in the same position.</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Health services to get treatment, but no support emotionally or how to cope with life. Advice on financial impact needed.</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Want to be listened to. Have the time to talk and understand health more.</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More control and confidence. Take an interest and control of my own health, including medication. Changing life to fit health and ability.</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Look at me as a whole.</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Being able to understand information.</w:t>
      </w:r>
    </w:p>
    <w:p w:rsidR="00CB00BF" w:rsidRPr="00CB00BF" w:rsidRDefault="00CB00BF" w:rsidP="00CB00BF">
      <w:pPr>
        <w:numPr>
          <w:ilvl w:val="0"/>
          <w:numId w:val="4"/>
        </w:numPr>
        <w:contextualSpacing/>
        <w:rPr>
          <w:rFonts w:ascii="Arial" w:hAnsi="Arial" w:cs="Arial"/>
          <w:sz w:val="24"/>
          <w:szCs w:val="24"/>
        </w:rPr>
      </w:pPr>
      <w:r w:rsidRPr="00CB00BF">
        <w:rPr>
          <w:rFonts w:ascii="Arial" w:hAnsi="Arial" w:cs="Arial"/>
          <w:sz w:val="24"/>
          <w:szCs w:val="24"/>
        </w:rPr>
        <w:t>Realistic goals for me.</w:t>
      </w:r>
    </w:p>
    <w:p w:rsidR="00CB00BF" w:rsidRDefault="00CB00BF" w:rsidP="00CB00BF">
      <w:pPr>
        <w:rPr>
          <w:rFonts w:ascii="Arial" w:hAnsi="Arial" w:cs="Arial"/>
          <w:sz w:val="24"/>
          <w:szCs w:val="24"/>
        </w:rPr>
      </w:pPr>
    </w:p>
    <w:p w:rsidR="00CB00BF" w:rsidRPr="00CB00BF" w:rsidRDefault="00CB00BF" w:rsidP="00CB00BF">
      <w:pPr>
        <w:rPr>
          <w:rFonts w:ascii="Arial" w:hAnsi="Arial" w:cs="Arial"/>
          <w:sz w:val="24"/>
          <w:szCs w:val="24"/>
        </w:rPr>
      </w:pPr>
      <w:r w:rsidRPr="00CB00BF">
        <w:rPr>
          <w:rFonts w:ascii="Arial" w:hAnsi="Arial" w:cs="Arial"/>
          <w:sz w:val="24"/>
          <w:szCs w:val="24"/>
        </w:rPr>
        <w:lastRenderedPageBreak/>
        <w:t>Positive outcomes identified</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Ability to return to a functional level</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Ability to be proactive</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Improved energy</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More stamina</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Improved mood</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Improved confidence</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Increased motivation</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Social support</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Learning to ask for help</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Connecting with people</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Developing insight</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Learning to pace oneself</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Managing the environment</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Learning alternative ways to manage</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Learning how to find information on the condition and how to manage it</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Weight loss</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Social interaction</w:t>
      </w:r>
    </w:p>
    <w:p w:rsidR="00CB00BF" w:rsidRPr="00CB00BF" w:rsidRDefault="00CB00BF" w:rsidP="00CB00BF">
      <w:pPr>
        <w:numPr>
          <w:ilvl w:val="0"/>
          <w:numId w:val="2"/>
        </w:numPr>
        <w:spacing w:after="0"/>
        <w:contextualSpacing/>
        <w:rPr>
          <w:rFonts w:ascii="Arial" w:hAnsi="Arial" w:cs="Arial"/>
          <w:sz w:val="24"/>
          <w:szCs w:val="24"/>
        </w:rPr>
      </w:pPr>
      <w:r w:rsidRPr="00CB00BF">
        <w:rPr>
          <w:rFonts w:ascii="Arial" w:hAnsi="Arial" w:cs="Arial"/>
          <w:sz w:val="24"/>
          <w:szCs w:val="24"/>
        </w:rPr>
        <w:t>Reducing isolation</w:t>
      </w:r>
    </w:p>
    <w:p w:rsidR="00CB00BF" w:rsidRPr="00CB00BF" w:rsidRDefault="00CB00BF" w:rsidP="00CB00BF">
      <w:pPr>
        <w:spacing w:after="0"/>
        <w:rPr>
          <w:rFonts w:ascii="Arial" w:hAnsi="Arial" w:cs="Arial"/>
          <w:b/>
          <w:sz w:val="24"/>
          <w:szCs w:val="24"/>
        </w:rPr>
      </w:pPr>
    </w:p>
    <w:p w:rsidR="00CB00BF" w:rsidRPr="00CB00BF" w:rsidRDefault="00CB00BF" w:rsidP="00CB00BF">
      <w:pPr>
        <w:spacing w:after="0"/>
        <w:rPr>
          <w:rFonts w:ascii="Arial" w:hAnsi="Arial" w:cs="Arial"/>
          <w:b/>
          <w:i/>
          <w:sz w:val="24"/>
          <w:szCs w:val="24"/>
        </w:rPr>
      </w:pPr>
      <w:r w:rsidRPr="00CB00BF">
        <w:rPr>
          <w:rFonts w:ascii="Arial" w:hAnsi="Arial" w:cs="Arial"/>
          <w:b/>
          <w:i/>
          <w:sz w:val="24"/>
          <w:szCs w:val="24"/>
        </w:rPr>
        <w:t>Feedback from individuals</w:t>
      </w:r>
    </w:p>
    <w:p w:rsidR="00CB00BF" w:rsidRPr="00CB00BF" w:rsidRDefault="00CB00BF" w:rsidP="00CB00BF">
      <w:pPr>
        <w:spacing w:after="0"/>
        <w:rPr>
          <w:rFonts w:ascii="Arial" w:hAnsi="Arial" w:cs="Arial"/>
          <w:sz w:val="24"/>
          <w:szCs w:val="24"/>
        </w:rPr>
      </w:pP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Misdiagnosis leading to unnecessary pain and incapacity.</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Financial and benefits advice within clinics for those who cannot work as a result.</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More informed choices.</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Waiting times for NHS treatment unacceptable.</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Monitor A&amp;E readmissions for MSK.</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Positive checking system at 28 days from initial presentation to identify serious untreated injuries.</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Higher chairs with arms that I can get out of without having to ask someone for help. – Environment</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Self-opening doors into the passage at the Hallamshire and the unit. – Environment</w:t>
      </w:r>
    </w:p>
    <w:p w:rsidR="00CB00BF" w:rsidRPr="00CB00BF" w:rsidRDefault="00CB00BF" w:rsidP="00CB00BF">
      <w:pPr>
        <w:numPr>
          <w:ilvl w:val="0"/>
          <w:numId w:val="3"/>
        </w:numPr>
        <w:spacing w:after="0"/>
        <w:contextualSpacing/>
        <w:rPr>
          <w:rFonts w:ascii="Arial" w:hAnsi="Arial" w:cs="Arial"/>
          <w:sz w:val="24"/>
          <w:szCs w:val="24"/>
        </w:rPr>
      </w:pPr>
      <w:r w:rsidRPr="00CB00BF">
        <w:rPr>
          <w:rFonts w:ascii="Arial" w:hAnsi="Arial" w:cs="Arial"/>
          <w:sz w:val="24"/>
          <w:szCs w:val="24"/>
        </w:rPr>
        <w:t>Service should stay in one place at the hospital. - Location</w:t>
      </w:r>
    </w:p>
    <w:p w:rsidR="00CB00BF" w:rsidRPr="00CB00BF" w:rsidRDefault="00CB00BF" w:rsidP="00CB00BF">
      <w:pPr>
        <w:spacing w:after="0"/>
        <w:rPr>
          <w:rFonts w:ascii="Arial" w:hAnsi="Arial" w:cs="Arial"/>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Default="00CB00BF" w:rsidP="00CB00BF">
      <w:pPr>
        <w:spacing w:after="0"/>
        <w:rPr>
          <w:rFonts w:ascii="Arial" w:hAnsi="Arial" w:cs="Arial"/>
          <w:b/>
          <w:sz w:val="24"/>
          <w:szCs w:val="24"/>
        </w:rPr>
      </w:pPr>
    </w:p>
    <w:p w:rsidR="00CB00BF" w:rsidRPr="00CB00BF" w:rsidRDefault="00CB00BF" w:rsidP="00CB00BF">
      <w:pPr>
        <w:spacing w:after="0"/>
        <w:rPr>
          <w:rFonts w:ascii="Arial" w:hAnsi="Arial" w:cs="Arial"/>
          <w:b/>
          <w:i/>
          <w:sz w:val="24"/>
          <w:szCs w:val="24"/>
        </w:rPr>
      </w:pPr>
      <w:r w:rsidRPr="00CB00BF">
        <w:rPr>
          <w:rFonts w:ascii="Arial" w:hAnsi="Arial" w:cs="Arial"/>
          <w:b/>
          <w:i/>
          <w:sz w:val="24"/>
          <w:szCs w:val="24"/>
        </w:rPr>
        <w:lastRenderedPageBreak/>
        <w:t>Themes of analysis</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Inconvenience</w:t>
      </w:r>
      <w:r w:rsidRPr="00CB00BF">
        <w:rPr>
          <w:rFonts w:ascii="Arial" w:hAnsi="Arial" w:cs="Arial"/>
          <w:sz w:val="24"/>
          <w:szCs w:val="24"/>
        </w:rPr>
        <w:t xml:space="preserve"> - People are most unhappy when they have experienced cancellations, delays and waits during their referral or treatment.</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Communication</w:t>
      </w:r>
      <w:r w:rsidRPr="00CB00BF">
        <w:rPr>
          <w:rFonts w:ascii="Arial" w:hAnsi="Arial" w:cs="Arial"/>
          <w:sz w:val="24"/>
          <w:szCs w:val="24"/>
        </w:rPr>
        <w:t xml:space="preserve"> – How people are communicated with is important to them. They value good staff attitude. They want clear information.</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Choice and involvement</w:t>
      </w:r>
      <w:r w:rsidRPr="00CB00BF">
        <w:rPr>
          <w:rFonts w:ascii="Arial" w:hAnsi="Arial" w:cs="Arial"/>
          <w:sz w:val="24"/>
          <w:szCs w:val="24"/>
        </w:rPr>
        <w:t xml:space="preserve"> – People want to understand, and have a choice over, their own health. They want to be seen as experts of their own health.</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Learn to live</w:t>
      </w:r>
      <w:r w:rsidRPr="00CB00BF">
        <w:rPr>
          <w:rFonts w:ascii="Arial" w:hAnsi="Arial" w:cs="Arial"/>
          <w:sz w:val="24"/>
          <w:szCs w:val="24"/>
        </w:rPr>
        <w:t xml:space="preserve"> – People want support to be able to live with their conditions, look after themselves and be able to do the things that they value. They want to be confident to live their lives.</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 xml:space="preserve">Convenience </w:t>
      </w:r>
      <w:r w:rsidRPr="00CB00BF">
        <w:rPr>
          <w:rFonts w:ascii="Arial" w:hAnsi="Arial" w:cs="Arial"/>
          <w:sz w:val="24"/>
          <w:szCs w:val="24"/>
        </w:rPr>
        <w:t>– How services fit in with people’s lives is important to them. Times and locations of appointments are important.</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 xml:space="preserve">Treat me as a whole </w:t>
      </w:r>
      <w:r w:rsidRPr="00CB00BF">
        <w:rPr>
          <w:rFonts w:ascii="Arial" w:hAnsi="Arial" w:cs="Arial"/>
          <w:sz w:val="24"/>
          <w:szCs w:val="24"/>
        </w:rPr>
        <w:t>- People want to be treated as an individual and their needs recognised, even if they are not clinical needs.</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Quality care</w:t>
      </w:r>
      <w:r w:rsidRPr="00CB00BF">
        <w:rPr>
          <w:rFonts w:ascii="Arial" w:hAnsi="Arial" w:cs="Arial"/>
          <w:sz w:val="24"/>
          <w:szCs w:val="24"/>
        </w:rPr>
        <w:t xml:space="preserve"> – People want good quality care from knowledgeable people. They want a diagnosis and want to know what this means for them.</w:t>
      </w:r>
    </w:p>
    <w:p w:rsidR="00CB00BF" w:rsidRPr="00CB00BF" w:rsidRDefault="00CB00BF" w:rsidP="00CB00BF">
      <w:pPr>
        <w:spacing w:after="0"/>
        <w:rPr>
          <w:rFonts w:ascii="Arial" w:hAnsi="Arial" w:cs="Arial"/>
          <w:sz w:val="24"/>
          <w:szCs w:val="24"/>
        </w:rPr>
      </w:pPr>
    </w:p>
    <w:p w:rsidR="00CB00BF" w:rsidRPr="00CB00BF" w:rsidRDefault="00CB00BF" w:rsidP="00CB00BF">
      <w:pPr>
        <w:spacing w:after="0"/>
        <w:rPr>
          <w:rFonts w:ascii="Arial" w:hAnsi="Arial" w:cs="Arial"/>
          <w:sz w:val="24"/>
          <w:szCs w:val="24"/>
        </w:rPr>
      </w:pPr>
      <w:r w:rsidRPr="00CB00BF">
        <w:rPr>
          <w:rFonts w:ascii="Arial" w:hAnsi="Arial" w:cs="Arial"/>
          <w:b/>
          <w:sz w:val="24"/>
          <w:szCs w:val="24"/>
        </w:rPr>
        <w:t>Peer support</w:t>
      </w:r>
      <w:r w:rsidRPr="00CB00BF">
        <w:rPr>
          <w:rFonts w:ascii="Arial" w:hAnsi="Arial" w:cs="Arial"/>
          <w:sz w:val="24"/>
          <w:szCs w:val="24"/>
        </w:rPr>
        <w:t xml:space="preserve"> – People want to be able to talk with others who have had similar experiences of living with musculoskeletal conditions.</w:t>
      </w:r>
    </w:p>
    <w:p w:rsidR="00F7573C" w:rsidRPr="00BB7D60" w:rsidRDefault="00F7573C" w:rsidP="00CB00BF">
      <w:pPr>
        <w:rPr>
          <w:rFonts w:ascii="Arial" w:hAnsi="Arial" w:cs="Arial"/>
          <w:sz w:val="24"/>
          <w:szCs w:val="24"/>
        </w:rPr>
      </w:pPr>
    </w:p>
    <w:sectPr w:rsidR="00F7573C" w:rsidRPr="00BB7D60" w:rsidSect="003B23F0">
      <w:footerReference w:type="default" r:id="rId8"/>
      <w:headerReference w:type="first" r:id="rId9"/>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F0" w:rsidRDefault="003B23F0" w:rsidP="003B23F0">
      <w:pPr>
        <w:spacing w:after="0" w:line="240" w:lineRule="auto"/>
      </w:pPr>
      <w:r>
        <w:separator/>
      </w:r>
    </w:p>
  </w:endnote>
  <w:endnote w:type="continuationSeparator" w:id="0">
    <w:p w:rsidR="003B23F0" w:rsidRDefault="003B23F0" w:rsidP="003B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F0" w:rsidRDefault="003B23F0">
    <w:pPr>
      <w:pStyle w:val="Footer"/>
    </w:pPr>
    <w:r>
      <w:rPr>
        <w:noProof/>
        <w:lang w:eastAsia="en-GB"/>
      </w:rPr>
      <w:drawing>
        <wp:inline distT="0" distB="0" distL="0" distR="0" wp14:anchorId="577D2FA5" wp14:editId="7899A07C">
          <wp:extent cx="6480810" cy="339725"/>
          <wp:effectExtent l="0" t="0" r="0" b="3175"/>
          <wp:docPr id="23" name="Picture 23" descr="http://applications.bradford.nhs.uk/sp/images/footer_d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lications.bradford.nhs.uk/sp/images/footer_do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3397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F0" w:rsidRDefault="003B23F0" w:rsidP="003B23F0">
      <w:pPr>
        <w:spacing w:after="0" w:line="240" w:lineRule="auto"/>
      </w:pPr>
      <w:r>
        <w:separator/>
      </w:r>
    </w:p>
  </w:footnote>
  <w:footnote w:type="continuationSeparator" w:id="0">
    <w:p w:rsidR="003B23F0" w:rsidRDefault="003B23F0" w:rsidP="003B2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F0" w:rsidRDefault="003B23F0" w:rsidP="003B23F0">
    <w:pPr>
      <w:pStyle w:val="Header"/>
      <w:jc w:val="right"/>
    </w:pPr>
    <w:r>
      <w:rPr>
        <w:noProof/>
        <w:lang w:eastAsia="en-GB"/>
      </w:rPr>
      <w:drawing>
        <wp:anchor distT="0" distB="0" distL="114300" distR="114300" simplePos="0" relativeHeight="251659264" behindDoc="0" locked="0" layoutInCell="1" allowOverlap="1" wp14:anchorId="12B59F20" wp14:editId="5CA637AF">
          <wp:simplePos x="0" y="0"/>
          <wp:positionH relativeFrom="column">
            <wp:posOffset>41066</wp:posOffset>
          </wp:positionH>
          <wp:positionV relativeFrom="paragraph">
            <wp:posOffset>-60325</wp:posOffset>
          </wp:positionV>
          <wp:extent cx="2495012" cy="676405"/>
          <wp:effectExtent l="0" t="0" r="635" b="9525"/>
          <wp:wrapNone/>
          <wp:docPr id="5" name="Picture 5" descr="http://applications.bradford.nhs.uk/sp/images/nhs_wsyb_cs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lications.bradford.nhs.uk/sp/images/nhs_wsyb_csu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012" cy="67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noProof/>
        <w:lang w:eastAsia="en-GB"/>
      </w:rPr>
      <w:drawing>
        <wp:inline distT="0" distB="0" distL="0" distR="0" wp14:anchorId="6FB32317" wp14:editId="4656267C">
          <wp:extent cx="2324100" cy="619125"/>
          <wp:effectExtent l="0" t="0" r="0" b="9525"/>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619125"/>
                  </a:xfrm>
                  <a:prstGeom prst="rect">
                    <a:avLst/>
                  </a:prstGeom>
                  <a:noFill/>
                  <a:ln>
                    <a:noFill/>
                  </a:ln>
                </pic:spPr>
              </pic:pic>
            </a:graphicData>
          </a:graphic>
        </wp:inline>
      </w:drawing>
    </w:r>
  </w:p>
  <w:p w:rsidR="003B23F0" w:rsidRDefault="003B2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278"/>
    <w:multiLevelType w:val="hybridMultilevel"/>
    <w:tmpl w:val="BDA4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4005C"/>
    <w:multiLevelType w:val="hybridMultilevel"/>
    <w:tmpl w:val="07AE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A7C44"/>
    <w:multiLevelType w:val="hybridMultilevel"/>
    <w:tmpl w:val="1582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424D3D"/>
    <w:multiLevelType w:val="hybridMultilevel"/>
    <w:tmpl w:val="BB7E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CF1"/>
    <w:rsid w:val="00016AAF"/>
    <w:rsid w:val="000923F8"/>
    <w:rsid w:val="000A7CF1"/>
    <w:rsid w:val="000C3866"/>
    <w:rsid w:val="001857EB"/>
    <w:rsid w:val="001A2597"/>
    <w:rsid w:val="003B23F0"/>
    <w:rsid w:val="003B4220"/>
    <w:rsid w:val="0041213A"/>
    <w:rsid w:val="004907E5"/>
    <w:rsid w:val="005807D1"/>
    <w:rsid w:val="0065099C"/>
    <w:rsid w:val="007563E3"/>
    <w:rsid w:val="00825DDD"/>
    <w:rsid w:val="00A71652"/>
    <w:rsid w:val="00BB7D60"/>
    <w:rsid w:val="00BC347C"/>
    <w:rsid w:val="00C23070"/>
    <w:rsid w:val="00CB00BF"/>
    <w:rsid w:val="00E600D7"/>
    <w:rsid w:val="00E6146F"/>
    <w:rsid w:val="00EA1BAB"/>
    <w:rsid w:val="00F434EB"/>
    <w:rsid w:val="00F44526"/>
    <w:rsid w:val="00F50E98"/>
    <w:rsid w:val="00F7573C"/>
    <w:rsid w:val="00FB66F3"/>
    <w:rsid w:val="00FC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EB"/>
    <w:pPr>
      <w:ind w:left="720"/>
      <w:contextualSpacing/>
    </w:pPr>
  </w:style>
  <w:style w:type="table" w:styleId="TableGrid">
    <w:name w:val="Table Grid"/>
    <w:basedOn w:val="TableNormal"/>
    <w:uiPriority w:val="59"/>
    <w:rsid w:val="00F43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F0"/>
  </w:style>
  <w:style w:type="paragraph" w:styleId="Footer">
    <w:name w:val="footer"/>
    <w:basedOn w:val="Normal"/>
    <w:link w:val="FooterChar"/>
    <w:uiPriority w:val="99"/>
    <w:unhideWhenUsed/>
    <w:rsid w:val="003B2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F0"/>
  </w:style>
  <w:style w:type="paragraph" w:styleId="BalloonText">
    <w:name w:val="Balloon Text"/>
    <w:basedOn w:val="Normal"/>
    <w:link w:val="BalloonTextChar"/>
    <w:uiPriority w:val="99"/>
    <w:semiHidden/>
    <w:unhideWhenUsed/>
    <w:rsid w:val="003B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F0"/>
    <w:rPr>
      <w:rFonts w:ascii="Tahoma" w:hAnsi="Tahoma" w:cs="Tahoma"/>
      <w:sz w:val="16"/>
      <w:szCs w:val="16"/>
    </w:rPr>
  </w:style>
  <w:style w:type="table" w:customStyle="1" w:styleId="TableGrid1">
    <w:name w:val="Table Grid1"/>
    <w:basedOn w:val="TableNormal"/>
    <w:next w:val="TableGrid"/>
    <w:uiPriority w:val="59"/>
    <w:rsid w:val="00CB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B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EB"/>
    <w:pPr>
      <w:ind w:left="720"/>
      <w:contextualSpacing/>
    </w:pPr>
  </w:style>
  <w:style w:type="table" w:styleId="TableGrid">
    <w:name w:val="Table Grid"/>
    <w:basedOn w:val="TableNormal"/>
    <w:uiPriority w:val="59"/>
    <w:rsid w:val="00F43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F0"/>
  </w:style>
  <w:style w:type="paragraph" w:styleId="Footer">
    <w:name w:val="footer"/>
    <w:basedOn w:val="Normal"/>
    <w:link w:val="FooterChar"/>
    <w:uiPriority w:val="99"/>
    <w:unhideWhenUsed/>
    <w:rsid w:val="003B2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F0"/>
  </w:style>
  <w:style w:type="paragraph" w:styleId="BalloonText">
    <w:name w:val="Balloon Text"/>
    <w:basedOn w:val="Normal"/>
    <w:link w:val="BalloonTextChar"/>
    <w:uiPriority w:val="99"/>
    <w:semiHidden/>
    <w:unhideWhenUsed/>
    <w:rsid w:val="003B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3F0"/>
    <w:rPr>
      <w:rFonts w:ascii="Tahoma" w:hAnsi="Tahoma" w:cs="Tahoma"/>
      <w:sz w:val="16"/>
      <w:szCs w:val="16"/>
    </w:rPr>
  </w:style>
  <w:style w:type="table" w:customStyle="1" w:styleId="TableGrid1">
    <w:name w:val="Table Grid1"/>
    <w:basedOn w:val="TableNormal"/>
    <w:next w:val="TableGrid"/>
    <w:uiPriority w:val="59"/>
    <w:rsid w:val="00CB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B0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3406">
      <w:bodyDiv w:val="1"/>
      <w:marLeft w:val="0"/>
      <w:marRight w:val="0"/>
      <w:marTop w:val="0"/>
      <w:marBottom w:val="0"/>
      <w:divBdr>
        <w:top w:val="none" w:sz="0" w:space="0" w:color="auto"/>
        <w:left w:val="none" w:sz="0" w:space="0" w:color="auto"/>
        <w:bottom w:val="none" w:sz="0" w:space="0" w:color="auto"/>
        <w:right w:val="none" w:sz="0" w:space="0" w:color="auto"/>
      </w:divBdr>
    </w:div>
    <w:div w:id="16215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Kennedyr</dc:creator>
  <cp:lastModifiedBy>Lynda Liddament</cp:lastModifiedBy>
  <cp:revision>2</cp:revision>
  <dcterms:created xsi:type="dcterms:W3CDTF">2014-07-14T11:14:00Z</dcterms:created>
  <dcterms:modified xsi:type="dcterms:W3CDTF">2014-07-14T11:14:00Z</dcterms:modified>
</cp:coreProperties>
</file>